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E58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</w:p>
    <w:p w14:paraId="4EE6192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26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2024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5/53735</w:t>
      </w:r>
    </w:p>
    <w:p w14:paraId="6C60D42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14:paraId="59B798D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3700ED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</w:p>
    <w:p w14:paraId="2CF6C6B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26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2024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. N 547</w:t>
      </w:r>
    </w:p>
    <w:p w14:paraId="12324EB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14:paraId="2F01D1F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ИНВЕСТИЦИЙ</w:t>
      </w:r>
    </w:p>
    <w:p w14:paraId="73DFC4C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A8C989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двадцать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53-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эффективного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EC6258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Минского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городского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029A9BF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9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Минский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городской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ежегодно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15 </w:t>
      </w:r>
      <w:r>
        <w:rPr>
          <w:rFonts w:ascii="Arial" w:hAnsi="Arial" w:cs="Arial"/>
          <w:color w:val="000000"/>
          <w:kern w:val="0"/>
          <w:sz w:val="22"/>
          <w:szCs w:val="22"/>
        </w:rPr>
        <w:t>февраля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невозможности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приемлемым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5EFAA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0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ежегодно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25 </w:t>
      </w:r>
      <w:r>
        <w:rPr>
          <w:rFonts w:ascii="Arial" w:hAnsi="Arial" w:cs="Arial"/>
          <w:color w:val="000000"/>
          <w:kern w:val="0"/>
          <w:sz w:val="22"/>
          <w:szCs w:val="22"/>
        </w:rPr>
        <w:t>февраля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устранении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повлекших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6C18B1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арбитражного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ежеквартально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25-</w:t>
      </w:r>
      <w:r>
        <w:rPr>
          <w:rFonts w:ascii="Arial" w:hAnsi="Arial" w:cs="Arial"/>
          <w:color w:val="000000"/>
          <w:kern w:val="0"/>
          <w:sz w:val="22"/>
          <w:szCs w:val="22"/>
        </w:rPr>
        <w:t>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итоге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процессуального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рассматривающего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5A00EBD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2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бюджетов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бюджетным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источников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63F9B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13"/>
      <w:bookmarkEnd w:id="11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670735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14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утратившими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приложению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305CCE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15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Минского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городского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распространяется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092ED9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16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взаимодействию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FB1D01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17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388BD2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8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официального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опубликования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FCE316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19"/>
      <w:bookmarkEnd w:id="1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4491B6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20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Премьер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1B6054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CE4A3" w14:textId="77777777" w:rsidR="00DD7139" w:rsidRDefault="00DD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BE6C2" w14:textId="77777777" w:rsidR="00DD7139" w:rsidRDefault="00DD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Головченко</w:t>
            </w:r>
            <w:proofErr w:type="spellEnd"/>
          </w:p>
        </w:tc>
      </w:tr>
    </w:tbl>
    <w:p w14:paraId="5984692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21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7C4055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142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60DCF9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143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AE0DC4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144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F6F20C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" w:name="145"/>
      <w:bookmarkEnd w:id="2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54A3B3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22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Приложение</w:t>
      </w:r>
    </w:p>
    <w:p w14:paraId="2BCF095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5" w:name="23"/>
      <w:bookmarkEnd w:id="25"/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постановлению</w:t>
      </w:r>
    </w:p>
    <w:p w14:paraId="40A656A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" w:name="146"/>
      <w:bookmarkEnd w:id="26"/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</w:p>
    <w:p w14:paraId="4857FF4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147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</w:p>
    <w:p w14:paraId="72E9AEE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148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t>26.07.2024 N 547</w:t>
      </w:r>
    </w:p>
    <w:p w14:paraId="09E862F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24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328448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ПЕРЕЧЕНЬ</w:t>
      </w:r>
    </w:p>
    <w:p w14:paraId="2AD93FB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УТРАТИВШИХ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</w:p>
    <w:p w14:paraId="6B6D249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26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520C28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27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14 </w:t>
      </w:r>
      <w:r>
        <w:rPr>
          <w:rFonts w:ascii="Arial" w:hAnsi="Arial" w:cs="Arial"/>
          <w:color w:val="000000"/>
          <w:kern w:val="0"/>
          <w:sz w:val="22"/>
          <w:szCs w:val="22"/>
        </w:rPr>
        <w:t>февраля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2012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146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64D314E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28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11 </w:t>
      </w:r>
      <w:r>
        <w:rPr>
          <w:rFonts w:ascii="Arial" w:hAnsi="Arial" w:cs="Arial"/>
          <w:color w:val="000000"/>
          <w:kern w:val="0"/>
          <w:sz w:val="22"/>
          <w:szCs w:val="22"/>
        </w:rPr>
        <w:t>декабря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1062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14 </w:t>
      </w:r>
      <w:r>
        <w:rPr>
          <w:rFonts w:ascii="Arial" w:hAnsi="Arial" w:cs="Arial"/>
          <w:color w:val="000000"/>
          <w:kern w:val="0"/>
          <w:sz w:val="22"/>
          <w:szCs w:val="22"/>
        </w:rPr>
        <w:t>февраля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2012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146".</w:t>
      </w:r>
    </w:p>
    <w:p w14:paraId="10D5985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29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 </w:t>
      </w:r>
      <w:r>
        <w:rPr>
          <w:rFonts w:ascii="Arial" w:hAnsi="Arial" w:cs="Arial"/>
          <w:color w:val="000000"/>
          <w:kern w:val="0"/>
          <w:sz w:val="22"/>
          <w:szCs w:val="22"/>
        </w:rPr>
        <w:t>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2022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280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14 </w:t>
      </w:r>
      <w:r>
        <w:rPr>
          <w:rFonts w:ascii="Arial" w:hAnsi="Arial" w:cs="Arial"/>
          <w:color w:val="000000"/>
          <w:kern w:val="0"/>
          <w:sz w:val="22"/>
          <w:szCs w:val="22"/>
        </w:rPr>
        <w:t>февраля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2012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N 146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26 </w:t>
      </w:r>
      <w:r>
        <w:rPr>
          <w:rFonts w:ascii="Arial" w:hAnsi="Arial" w:cs="Arial"/>
          <w:color w:val="000000"/>
          <w:kern w:val="0"/>
          <w:sz w:val="22"/>
          <w:szCs w:val="22"/>
        </w:rPr>
        <w:t>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2014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506".</w:t>
      </w:r>
    </w:p>
    <w:p w14:paraId="6D41305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30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1.23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13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457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78E78BE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31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5EF467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" w:name="149"/>
      <w:bookmarkEnd w:id="3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76FB89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" w:name="150"/>
      <w:bookmarkEnd w:id="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40A80B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" w:name="151"/>
      <w:bookmarkEnd w:id="3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1F95F0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152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6BF41E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УТВЕРЖДЕНО</w:t>
      </w:r>
    </w:p>
    <w:p w14:paraId="224FCA6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Постановление</w:t>
      </w:r>
    </w:p>
    <w:p w14:paraId="6A15A88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Министров</w:t>
      </w:r>
    </w:p>
    <w:p w14:paraId="5BEE9F8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Беларусь</w:t>
      </w:r>
    </w:p>
    <w:p w14:paraId="6C6AD42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26.07.2024 N 547</w:t>
      </w:r>
    </w:p>
    <w:p w14:paraId="5959113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F4A5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738C9" w14:textId="77777777" w:rsidR="00DD7139" w:rsidRDefault="00DD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Действие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Положения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распространяется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отношения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соответствии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пунктом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8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данного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документа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</w:tc>
      </w:tr>
    </w:tbl>
    <w:p w14:paraId="72406BC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154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C72B7E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4806359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РЕСПУБЛИКАНСКИХ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ПОДЧИНЕННЫХ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СОВЕТУ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ОБЛАСТНЫХ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МИНСКОГО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ГОРОДСКОГО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КОМИТЕТОВ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РАЗНОГЛАСИЙ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ИНВЕСТИЦИЙ</w:t>
      </w:r>
    </w:p>
    <w:p w14:paraId="3142DAC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1" w:name="36"/>
      <w:bookmarkEnd w:id="41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 </w:t>
      </w:r>
    </w:p>
    <w:p w14:paraId="6CD057A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2" w:name="37"/>
      <w:bookmarkEnd w:id="4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</w:t>
      </w:r>
    </w:p>
    <w:p w14:paraId="0FBFFE4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3" w:name="38"/>
      <w:bookmarkEnd w:id="4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ПОЛОЖЕНИЯ</w:t>
      </w:r>
    </w:p>
    <w:p w14:paraId="5389FA3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39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F514B2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40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CBCE6F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41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</w:t>
      </w:r>
      <w:r>
        <w:rPr>
          <w:rFonts w:ascii="Arial" w:hAnsi="Arial" w:cs="Arial"/>
          <w:color w:val="000000"/>
          <w:kern w:val="0"/>
          <w:sz w:val="22"/>
          <w:szCs w:val="22"/>
        </w:rPr>
        <w:t>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распространяется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5F57CC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42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конституционным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уголовно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процессуальным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5C1B3F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43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правонарушениях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процесса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321EF5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44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процессуальным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31 </w:t>
      </w:r>
      <w:r>
        <w:rPr>
          <w:rFonts w:ascii="Arial" w:hAnsi="Arial" w:cs="Arial"/>
          <w:color w:val="000000"/>
          <w:kern w:val="0"/>
          <w:sz w:val="22"/>
          <w:szCs w:val="22"/>
        </w:rPr>
        <w:t>декабря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2025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.;</w:t>
      </w:r>
    </w:p>
    <w:p w14:paraId="77E8741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" w:name="45"/>
      <w:bookmarkEnd w:id="50"/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судопроизводстве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2026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BBA5DE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46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сфере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7B19F7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47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43F80A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3" w:name="48"/>
      <w:bookmarkEnd w:id="5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</w:t>
      </w:r>
    </w:p>
    <w:p w14:paraId="733874F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4" w:name="49"/>
      <w:bookmarkEnd w:id="5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ПОСТОЯННАЯ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МЕЖВЕДОМСТВЕННАЯ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ИНВЕСТИЦИОННЫМ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СПОРАМ</w:t>
      </w:r>
    </w:p>
    <w:p w14:paraId="57ED0FA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50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C7F9D7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" w:name="51"/>
      <w:bookmarkEnd w:id="56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межведомственная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06C9BA5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" w:name="52"/>
      <w:bookmarkEnd w:id="57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3FEBE6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" w:name="53"/>
      <w:bookmarkEnd w:id="58"/>
      <w:r>
        <w:rPr>
          <w:rFonts w:ascii="Arial" w:hAnsi="Arial" w:cs="Arial"/>
          <w:color w:val="000000"/>
          <w:kern w:val="0"/>
          <w:sz w:val="22"/>
          <w:szCs w:val="22"/>
        </w:rPr>
        <w:t>Председателем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DC2A1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" w:name="54"/>
      <w:bookmarkEnd w:id="59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аналогичного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арбитражного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F48CEE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" w:name="55"/>
      <w:bookmarkEnd w:id="60"/>
      <w:r>
        <w:rPr>
          <w:rFonts w:ascii="Arial" w:hAnsi="Arial" w:cs="Arial"/>
          <w:color w:val="000000"/>
          <w:kern w:val="0"/>
          <w:sz w:val="22"/>
          <w:szCs w:val="22"/>
        </w:rPr>
        <w:t>компетенции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задач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735BC5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" w:name="56"/>
      <w:bookmarkEnd w:id="61"/>
      <w:r>
        <w:rPr>
          <w:rFonts w:ascii="Arial" w:hAnsi="Arial" w:cs="Arial"/>
          <w:color w:val="000000"/>
          <w:kern w:val="0"/>
          <w:sz w:val="22"/>
          <w:szCs w:val="22"/>
        </w:rPr>
        <w:t>доводов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проблемных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86782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" w:name="57"/>
      <w:bookmarkEnd w:id="62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Организационно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8BCF66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" w:name="58"/>
      <w:bookmarkEnd w:id="63"/>
      <w:r>
        <w:rPr>
          <w:rFonts w:ascii="Arial" w:hAnsi="Arial" w:cs="Arial"/>
          <w:color w:val="000000"/>
          <w:kern w:val="0"/>
          <w:sz w:val="22"/>
          <w:szCs w:val="22"/>
        </w:rPr>
        <w:t xml:space="preserve">6.1.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44636D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" w:name="59"/>
      <w:bookmarkEnd w:id="64"/>
      <w:r>
        <w:rPr>
          <w:rFonts w:ascii="Arial" w:hAnsi="Arial" w:cs="Arial"/>
          <w:color w:val="000000"/>
          <w:kern w:val="0"/>
          <w:sz w:val="22"/>
          <w:szCs w:val="22"/>
        </w:rPr>
        <w:t xml:space="preserve">6.2.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повестку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повестки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список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4B1E8D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" w:name="60"/>
      <w:bookmarkEnd w:id="65"/>
      <w:r>
        <w:rPr>
          <w:rFonts w:ascii="Arial" w:hAnsi="Arial" w:cs="Arial"/>
          <w:color w:val="000000"/>
          <w:kern w:val="0"/>
          <w:sz w:val="22"/>
          <w:szCs w:val="22"/>
        </w:rPr>
        <w:t xml:space="preserve">6.3.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83F205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" w:name="61"/>
      <w:bookmarkEnd w:id="66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15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17.3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18.2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18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8C9142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" w:name="62"/>
      <w:bookmarkEnd w:id="67"/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проголосовало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половины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равенства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</w:t>
      </w:r>
      <w:r>
        <w:rPr>
          <w:rFonts w:ascii="Arial" w:hAnsi="Arial" w:cs="Arial"/>
          <w:color w:val="000000"/>
          <w:kern w:val="0"/>
          <w:sz w:val="22"/>
          <w:szCs w:val="22"/>
        </w:rPr>
        <w:t>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проголосовал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516248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" w:name="63"/>
      <w:bookmarkEnd w:id="68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D8365F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" w:name="64"/>
      <w:bookmarkEnd w:id="69"/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4ECA82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0" w:name="65"/>
      <w:bookmarkEnd w:id="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FBA2C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1" w:name="66"/>
      <w:bookmarkEnd w:id="7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</w:t>
      </w:r>
    </w:p>
    <w:p w14:paraId="51A0987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2" w:name="67"/>
      <w:bookmarkEnd w:id="7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ПОРЯДКЕ</w:t>
      </w:r>
    </w:p>
    <w:p w14:paraId="1906D85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3" w:name="68"/>
      <w:bookmarkEnd w:id="7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6A64EC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" w:name="69"/>
      <w:bookmarkEnd w:id="74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инициируется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>):</w:t>
      </w:r>
    </w:p>
    <w:p w14:paraId="25292BF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" w:name="70"/>
      <w:bookmarkEnd w:id="75"/>
      <w:r>
        <w:rPr>
          <w:rFonts w:ascii="Arial" w:hAnsi="Arial" w:cs="Arial"/>
          <w:color w:val="000000"/>
          <w:kern w:val="0"/>
          <w:sz w:val="22"/>
          <w:szCs w:val="22"/>
        </w:rPr>
        <w:t xml:space="preserve">8.1.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облисполком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преференциальных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преференциального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7879BD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" w:name="71"/>
      <w:bookmarkEnd w:id="76"/>
      <w:r>
        <w:rPr>
          <w:rFonts w:ascii="Arial" w:hAnsi="Arial" w:cs="Arial"/>
          <w:color w:val="000000"/>
          <w:kern w:val="0"/>
          <w:sz w:val="22"/>
          <w:szCs w:val="22"/>
        </w:rPr>
        <w:t xml:space="preserve">8.2.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873228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" w:name="72"/>
      <w:bookmarkEnd w:id="77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401A76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" w:name="73"/>
      <w:bookmarkEnd w:id="78"/>
      <w:r>
        <w:rPr>
          <w:rFonts w:ascii="Arial" w:hAnsi="Arial" w:cs="Arial"/>
          <w:color w:val="000000"/>
          <w:kern w:val="0"/>
          <w:sz w:val="22"/>
          <w:szCs w:val="22"/>
        </w:rPr>
        <w:t xml:space="preserve">9.1.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E802A5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" w:name="74"/>
      <w:bookmarkEnd w:id="79"/>
      <w:r>
        <w:rPr>
          <w:rFonts w:ascii="Arial" w:hAnsi="Arial" w:cs="Arial"/>
          <w:color w:val="000000"/>
          <w:kern w:val="0"/>
          <w:sz w:val="22"/>
          <w:szCs w:val="22"/>
        </w:rPr>
        <w:t xml:space="preserve">9.2.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эквивалентное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доказательство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45E5BC4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" w:name="75"/>
      <w:bookmarkEnd w:id="80"/>
      <w:r>
        <w:rPr>
          <w:rFonts w:ascii="Arial" w:hAnsi="Arial" w:cs="Arial"/>
          <w:color w:val="000000"/>
          <w:kern w:val="0"/>
          <w:sz w:val="22"/>
          <w:szCs w:val="22"/>
        </w:rPr>
        <w:t xml:space="preserve">9.3.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974B3C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" w:name="76"/>
      <w:bookmarkEnd w:id="81"/>
      <w:r>
        <w:rPr>
          <w:rFonts w:ascii="Arial" w:hAnsi="Arial" w:cs="Arial"/>
          <w:color w:val="000000"/>
          <w:kern w:val="0"/>
          <w:sz w:val="22"/>
          <w:szCs w:val="22"/>
        </w:rPr>
        <w:t xml:space="preserve">9.4.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обосновывающая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D20C34A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" w:name="77"/>
      <w:bookmarkEnd w:id="82"/>
      <w:r>
        <w:rPr>
          <w:rFonts w:ascii="Arial" w:hAnsi="Arial" w:cs="Arial"/>
          <w:color w:val="000000"/>
          <w:kern w:val="0"/>
          <w:sz w:val="22"/>
          <w:szCs w:val="22"/>
        </w:rPr>
        <w:t xml:space="preserve">9.5.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F0AEF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" w:name="78"/>
      <w:bookmarkEnd w:id="83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876408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" w:name="79"/>
      <w:bookmarkEnd w:id="84"/>
      <w:r>
        <w:rPr>
          <w:rFonts w:ascii="Arial" w:hAnsi="Arial" w:cs="Arial"/>
          <w:color w:val="000000"/>
          <w:kern w:val="0"/>
          <w:sz w:val="22"/>
          <w:szCs w:val="22"/>
        </w:rPr>
        <w:t xml:space="preserve">10.1.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B97723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" w:name="80"/>
      <w:bookmarkEnd w:id="85"/>
      <w:r>
        <w:rPr>
          <w:rFonts w:ascii="Arial" w:hAnsi="Arial" w:cs="Arial"/>
          <w:color w:val="000000"/>
          <w:kern w:val="0"/>
          <w:sz w:val="22"/>
          <w:szCs w:val="22"/>
        </w:rPr>
        <w:t xml:space="preserve">10.2.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8.1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05474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" w:name="81"/>
      <w:bookmarkEnd w:id="86"/>
      <w:r>
        <w:rPr>
          <w:rFonts w:ascii="Arial" w:hAnsi="Arial" w:cs="Arial"/>
          <w:color w:val="000000"/>
          <w:kern w:val="0"/>
          <w:sz w:val="22"/>
          <w:szCs w:val="22"/>
        </w:rPr>
        <w:t xml:space="preserve">11.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9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18D2BF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" w:name="82"/>
      <w:bookmarkEnd w:id="87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месячный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9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FDC782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8" w:name="83"/>
      <w:bookmarkEnd w:id="88"/>
      <w:r>
        <w:rPr>
          <w:rFonts w:ascii="Arial" w:hAnsi="Arial" w:cs="Arial"/>
          <w:color w:val="000000"/>
          <w:kern w:val="0"/>
          <w:sz w:val="22"/>
          <w:szCs w:val="22"/>
        </w:rPr>
        <w:t xml:space="preserve">12.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шестимесячный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7FA265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9" w:name="84"/>
      <w:bookmarkEnd w:id="89"/>
      <w:r>
        <w:rPr>
          <w:rFonts w:ascii="Arial" w:hAnsi="Arial" w:cs="Arial"/>
          <w:color w:val="000000"/>
          <w:kern w:val="0"/>
          <w:sz w:val="22"/>
          <w:szCs w:val="22"/>
        </w:rPr>
        <w:t xml:space="preserve">12.1.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анализирует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доводы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проблемные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29DC97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0" w:name="85"/>
      <w:bookmarkEnd w:id="90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12.2.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запрашивает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компетенции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превышать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A467A9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1" w:name="86"/>
      <w:bookmarkEnd w:id="91"/>
      <w:r>
        <w:rPr>
          <w:rFonts w:ascii="Arial" w:hAnsi="Arial" w:cs="Arial"/>
          <w:color w:val="000000"/>
          <w:kern w:val="0"/>
          <w:sz w:val="22"/>
          <w:szCs w:val="22"/>
        </w:rPr>
        <w:t xml:space="preserve">12.3.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закупку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оказывающих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помощи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адвоката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оплату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CDA2B6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2" w:name="87"/>
      <w:bookmarkEnd w:id="92"/>
      <w:r>
        <w:rPr>
          <w:rFonts w:ascii="Arial" w:hAnsi="Arial" w:cs="Arial"/>
          <w:color w:val="000000"/>
          <w:kern w:val="0"/>
          <w:sz w:val="22"/>
          <w:szCs w:val="22"/>
        </w:rPr>
        <w:t xml:space="preserve">12.4.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8C00DD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3" w:name="88"/>
      <w:bookmarkEnd w:id="93"/>
      <w:r>
        <w:rPr>
          <w:rFonts w:ascii="Arial" w:hAnsi="Arial" w:cs="Arial"/>
          <w:color w:val="000000"/>
          <w:kern w:val="0"/>
          <w:sz w:val="22"/>
          <w:szCs w:val="22"/>
        </w:rPr>
        <w:t xml:space="preserve">13.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AE0FCC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4" w:name="89"/>
      <w:bookmarkEnd w:id="94"/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44F27A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5" w:name="90"/>
      <w:bookmarkEnd w:id="95"/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компетенцию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повлекли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BB2049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6" w:name="91"/>
      <w:bookmarkEnd w:id="96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секретарь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проголосовало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половины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равенства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7661E05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7" w:name="92"/>
      <w:bookmarkEnd w:id="97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9A7CA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8" w:name="93"/>
      <w:bookmarkEnd w:id="98"/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утверждаемом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8AD26E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9" w:name="94"/>
      <w:bookmarkEnd w:id="99"/>
      <w:r>
        <w:rPr>
          <w:rFonts w:ascii="Arial" w:hAnsi="Arial" w:cs="Arial"/>
          <w:color w:val="000000"/>
          <w:kern w:val="0"/>
          <w:sz w:val="22"/>
          <w:szCs w:val="22"/>
        </w:rPr>
        <w:t>Организационно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B9442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0" w:name="95"/>
      <w:bookmarkEnd w:id="100"/>
      <w:r>
        <w:rPr>
          <w:rFonts w:ascii="Arial" w:hAnsi="Arial" w:cs="Arial"/>
          <w:color w:val="000000"/>
          <w:kern w:val="0"/>
          <w:sz w:val="22"/>
          <w:szCs w:val="22"/>
        </w:rPr>
        <w:t xml:space="preserve">14.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F7871C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1" w:name="96"/>
      <w:bookmarkEnd w:id="101"/>
      <w:r>
        <w:rPr>
          <w:rFonts w:ascii="Arial" w:hAnsi="Arial" w:cs="Arial"/>
          <w:color w:val="000000"/>
          <w:kern w:val="0"/>
          <w:sz w:val="22"/>
          <w:szCs w:val="22"/>
        </w:rPr>
        <w:t xml:space="preserve">14.1.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AB1781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2" w:name="97"/>
      <w:bookmarkEnd w:id="102"/>
      <w:r>
        <w:rPr>
          <w:rFonts w:ascii="Arial" w:hAnsi="Arial" w:cs="Arial"/>
          <w:color w:val="000000"/>
          <w:kern w:val="0"/>
          <w:sz w:val="22"/>
          <w:szCs w:val="22"/>
        </w:rPr>
        <w:t xml:space="preserve">14.2.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выработку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скоординированных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5590F5B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3" w:name="98"/>
      <w:bookmarkEnd w:id="103"/>
      <w:r>
        <w:rPr>
          <w:rFonts w:ascii="Arial" w:hAnsi="Arial" w:cs="Arial"/>
          <w:color w:val="000000"/>
          <w:kern w:val="0"/>
          <w:sz w:val="22"/>
          <w:szCs w:val="22"/>
        </w:rPr>
        <w:t xml:space="preserve">14.3.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невозможности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приемлемым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4AED959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4" w:name="99"/>
      <w:bookmarkEnd w:id="104"/>
      <w:r>
        <w:rPr>
          <w:rFonts w:ascii="Arial" w:hAnsi="Arial" w:cs="Arial"/>
          <w:color w:val="000000"/>
          <w:kern w:val="0"/>
          <w:sz w:val="22"/>
          <w:szCs w:val="22"/>
        </w:rPr>
        <w:t xml:space="preserve">14.4.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2D4E32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5" w:name="100"/>
      <w:bookmarkEnd w:id="105"/>
      <w:r>
        <w:rPr>
          <w:rFonts w:ascii="Arial" w:hAnsi="Arial" w:cs="Arial"/>
          <w:color w:val="000000"/>
          <w:kern w:val="0"/>
          <w:sz w:val="22"/>
          <w:szCs w:val="22"/>
        </w:rPr>
        <w:t xml:space="preserve">15.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встреч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1B356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6" w:name="101"/>
      <w:bookmarkEnd w:id="106"/>
      <w:r>
        <w:rPr>
          <w:rFonts w:ascii="Arial" w:hAnsi="Arial" w:cs="Arial"/>
          <w:color w:val="000000"/>
          <w:kern w:val="0"/>
          <w:sz w:val="22"/>
          <w:szCs w:val="22"/>
        </w:rPr>
        <w:t xml:space="preserve">16.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итогам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ADB4E1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7" w:name="102"/>
      <w:bookmarkEnd w:id="107"/>
      <w:r>
        <w:rPr>
          <w:rFonts w:ascii="Arial" w:hAnsi="Arial" w:cs="Arial"/>
          <w:color w:val="000000"/>
          <w:kern w:val="0"/>
          <w:sz w:val="22"/>
          <w:szCs w:val="22"/>
        </w:rPr>
        <w:t xml:space="preserve">16.1.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A4E796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8" w:name="103"/>
      <w:bookmarkEnd w:id="108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F944A1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9" w:name="104"/>
      <w:bookmarkEnd w:id="109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6EB673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0" w:name="105"/>
      <w:bookmarkEnd w:id="110"/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FE3836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1" w:name="106"/>
      <w:bookmarkEnd w:id="111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достигнутых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63582E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2" w:name="107"/>
      <w:bookmarkEnd w:id="112"/>
      <w:r>
        <w:rPr>
          <w:rFonts w:ascii="Arial" w:hAnsi="Arial" w:cs="Arial"/>
          <w:color w:val="000000"/>
          <w:kern w:val="0"/>
          <w:sz w:val="22"/>
          <w:szCs w:val="22"/>
        </w:rPr>
        <w:t xml:space="preserve">16.2.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невозможности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приемлемым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включать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DEC9CE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3" w:name="108"/>
      <w:bookmarkEnd w:id="113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краткое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94B5B53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4" w:name="109"/>
      <w:bookmarkEnd w:id="114"/>
      <w:r>
        <w:rPr>
          <w:rFonts w:ascii="Arial" w:hAnsi="Arial" w:cs="Arial"/>
          <w:color w:val="000000"/>
          <w:kern w:val="0"/>
          <w:sz w:val="22"/>
          <w:szCs w:val="22"/>
        </w:rPr>
        <w:t>результаты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доводов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проблемных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AFB551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15" w:name="110"/>
      <w:bookmarkEnd w:id="11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FC60AC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16" w:name="111"/>
      <w:bookmarkEnd w:id="11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</w:t>
      </w:r>
    </w:p>
    <w:p w14:paraId="3B156FF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17" w:name="112"/>
      <w:bookmarkEnd w:id="11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РАЗБИРАТЕЛЬСТВ</w:t>
      </w:r>
    </w:p>
    <w:p w14:paraId="40761E0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18" w:name="113"/>
      <w:bookmarkEnd w:id="11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E6A68E1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9" w:name="114"/>
      <w:bookmarkEnd w:id="119"/>
      <w:r>
        <w:rPr>
          <w:rFonts w:ascii="Arial" w:hAnsi="Arial" w:cs="Arial"/>
          <w:color w:val="000000"/>
          <w:kern w:val="0"/>
          <w:sz w:val="22"/>
          <w:szCs w:val="22"/>
        </w:rPr>
        <w:t xml:space="preserve">17.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</w:t>
      </w:r>
      <w:r>
        <w:rPr>
          <w:rFonts w:ascii="Arial" w:hAnsi="Arial" w:cs="Arial"/>
          <w:color w:val="000000"/>
          <w:kern w:val="0"/>
          <w:sz w:val="22"/>
          <w:szCs w:val="22"/>
        </w:rPr>
        <w:t>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инициируется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3464905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0" w:name="115"/>
      <w:bookmarkEnd w:id="120"/>
      <w:r>
        <w:rPr>
          <w:rFonts w:ascii="Arial" w:hAnsi="Arial" w:cs="Arial"/>
          <w:color w:val="000000"/>
          <w:kern w:val="0"/>
          <w:sz w:val="22"/>
          <w:szCs w:val="22"/>
        </w:rPr>
        <w:t xml:space="preserve">17.1.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являвшийся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стадии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A6C110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1" w:name="116"/>
      <w:bookmarkEnd w:id="121"/>
      <w:r>
        <w:rPr>
          <w:rFonts w:ascii="Arial" w:hAnsi="Arial" w:cs="Arial"/>
          <w:color w:val="000000"/>
          <w:kern w:val="0"/>
          <w:sz w:val="22"/>
          <w:szCs w:val="22"/>
        </w:rPr>
        <w:t xml:space="preserve">17.2.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преференциальных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преференциального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ED5BC3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2" w:name="117"/>
      <w:bookmarkEnd w:id="122"/>
      <w:r>
        <w:rPr>
          <w:rFonts w:ascii="Arial" w:hAnsi="Arial" w:cs="Arial"/>
          <w:color w:val="000000"/>
          <w:kern w:val="0"/>
          <w:sz w:val="22"/>
          <w:szCs w:val="22"/>
        </w:rPr>
        <w:t xml:space="preserve">17.3.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8A35EA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3" w:name="118"/>
      <w:bookmarkEnd w:id="123"/>
      <w:r>
        <w:rPr>
          <w:rFonts w:ascii="Arial" w:hAnsi="Arial" w:cs="Arial"/>
          <w:color w:val="000000"/>
          <w:kern w:val="0"/>
          <w:sz w:val="22"/>
          <w:szCs w:val="22"/>
        </w:rPr>
        <w:t xml:space="preserve">18.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E74100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4" w:name="119"/>
      <w:bookmarkEnd w:id="124"/>
      <w:r>
        <w:rPr>
          <w:rFonts w:ascii="Arial" w:hAnsi="Arial" w:cs="Arial"/>
          <w:color w:val="000000"/>
          <w:kern w:val="0"/>
          <w:sz w:val="22"/>
          <w:szCs w:val="22"/>
        </w:rPr>
        <w:t xml:space="preserve">18.1.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17.1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98B092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5" w:name="120"/>
      <w:bookmarkEnd w:id="125"/>
      <w:r>
        <w:rPr>
          <w:rFonts w:ascii="Arial" w:hAnsi="Arial" w:cs="Arial"/>
          <w:color w:val="000000"/>
          <w:kern w:val="0"/>
          <w:sz w:val="22"/>
          <w:szCs w:val="22"/>
        </w:rPr>
        <w:t xml:space="preserve">18.2.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17.1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DBA8F74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6" w:name="121"/>
      <w:bookmarkEnd w:id="126"/>
      <w:r>
        <w:rPr>
          <w:rFonts w:ascii="Arial" w:hAnsi="Arial" w:cs="Arial"/>
          <w:color w:val="000000"/>
          <w:kern w:val="0"/>
          <w:sz w:val="22"/>
          <w:szCs w:val="22"/>
        </w:rPr>
        <w:t xml:space="preserve">19.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91E3AB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7" w:name="122"/>
      <w:bookmarkEnd w:id="127"/>
      <w:r>
        <w:rPr>
          <w:rFonts w:ascii="Arial" w:hAnsi="Arial" w:cs="Arial"/>
          <w:color w:val="000000"/>
          <w:kern w:val="0"/>
          <w:sz w:val="22"/>
          <w:szCs w:val="22"/>
        </w:rPr>
        <w:t xml:space="preserve">19.1. </w:t>
      </w:r>
      <w:r>
        <w:rPr>
          <w:rFonts w:ascii="Arial" w:hAnsi="Arial" w:cs="Arial"/>
          <w:color w:val="000000"/>
          <w:kern w:val="0"/>
          <w:sz w:val="22"/>
          <w:szCs w:val="22"/>
        </w:rPr>
        <w:t>закупку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7C0708E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8" w:name="123"/>
      <w:bookmarkEnd w:id="128"/>
      <w:r>
        <w:rPr>
          <w:rFonts w:ascii="Arial" w:hAnsi="Arial" w:cs="Arial"/>
          <w:color w:val="000000"/>
          <w:kern w:val="0"/>
          <w:sz w:val="22"/>
          <w:szCs w:val="22"/>
        </w:rPr>
        <w:t xml:space="preserve">19.2. </w:t>
      </w:r>
      <w:r>
        <w:rPr>
          <w:rFonts w:ascii="Arial" w:hAnsi="Arial" w:cs="Arial"/>
          <w:color w:val="000000"/>
          <w:kern w:val="0"/>
          <w:sz w:val="22"/>
          <w:szCs w:val="22"/>
        </w:rPr>
        <w:t>оплату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CAAAFC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9" w:name="124"/>
      <w:bookmarkEnd w:id="129"/>
      <w:r>
        <w:rPr>
          <w:rFonts w:ascii="Arial" w:hAnsi="Arial" w:cs="Arial"/>
          <w:color w:val="000000"/>
          <w:kern w:val="0"/>
          <w:sz w:val="22"/>
          <w:szCs w:val="22"/>
        </w:rPr>
        <w:t xml:space="preserve">19.3.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B266E5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0" w:name="125"/>
      <w:bookmarkEnd w:id="130"/>
      <w:r>
        <w:rPr>
          <w:rFonts w:ascii="Arial" w:hAnsi="Arial" w:cs="Arial"/>
          <w:color w:val="000000"/>
          <w:kern w:val="0"/>
          <w:sz w:val="22"/>
          <w:szCs w:val="22"/>
        </w:rPr>
        <w:t xml:space="preserve">20.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Премьер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выработки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C63BB9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1" w:name="126"/>
      <w:bookmarkEnd w:id="131"/>
      <w:r>
        <w:rPr>
          <w:rFonts w:ascii="Arial" w:hAnsi="Arial" w:cs="Arial"/>
          <w:color w:val="000000"/>
          <w:kern w:val="0"/>
          <w:sz w:val="22"/>
          <w:szCs w:val="22"/>
        </w:rPr>
        <w:t>ответственного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921AF8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2" w:name="127"/>
      <w:bookmarkEnd w:id="132"/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компетенцию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повлекли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58D0E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3" w:name="128"/>
      <w:bookmarkEnd w:id="133"/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проголосовало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половины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равенства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652DA2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4" w:name="129"/>
      <w:bookmarkEnd w:id="134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386DDE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5" w:name="130"/>
      <w:bookmarkEnd w:id="135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организационно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Премьер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7FBF6C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6" w:name="131"/>
      <w:bookmarkEnd w:id="136"/>
      <w:r>
        <w:rPr>
          <w:rFonts w:ascii="Arial" w:hAnsi="Arial" w:cs="Arial"/>
          <w:color w:val="000000"/>
          <w:kern w:val="0"/>
          <w:sz w:val="22"/>
          <w:szCs w:val="22"/>
        </w:rPr>
        <w:t xml:space="preserve">21.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группа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83726E8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7" w:name="132"/>
      <w:bookmarkEnd w:id="137"/>
      <w:r>
        <w:rPr>
          <w:rFonts w:ascii="Arial" w:hAnsi="Arial" w:cs="Arial"/>
          <w:color w:val="000000"/>
          <w:kern w:val="0"/>
          <w:sz w:val="22"/>
          <w:szCs w:val="22"/>
        </w:rPr>
        <w:t xml:space="preserve">21.1. </w:t>
      </w:r>
      <w:r>
        <w:rPr>
          <w:rFonts w:ascii="Arial" w:hAnsi="Arial" w:cs="Arial"/>
          <w:color w:val="000000"/>
          <w:kern w:val="0"/>
          <w:sz w:val="22"/>
          <w:szCs w:val="22"/>
        </w:rPr>
        <w:t>подбор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6DC5A5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8" w:name="133"/>
      <w:bookmarkEnd w:id="138"/>
      <w:r>
        <w:rPr>
          <w:rFonts w:ascii="Arial" w:hAnsi="Arial" w:cs="Arial"/>
          <w:color w:val="000000"/>
          <w:kern w:val="0"/>
          <w:sz w:val="22"/>
          <w:szCs w:val="22"/>
        </w:rPr>
        <w:t xml:space="preserve">21.2.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привлечение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E837196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9" w:name="134"/>
      <w:bookmarkEnd w:id="139"/>
      <w:r>
        <w:rPr>
          <w:rFonts w:ascii="Arial" w:hAnsi="Arial" w:cs="Arial"/>
          <w:color w:val="000000"/>
          <w:kern w:val="0"/>
          <w:sz w:val="22"/>
          <w:szCs w:val="22"/>
        </w:rPr>
        <w:t xml:space="preserve">21.3. </w:t>
      </w:r>
      <w:r>
        <w:rPr>
          <w:rFonts w:ascii="Arial" w:hAnsi="Arial" w:cs="Arial"/>
          <w:color w:val="000000"/>
          <w:kern w:val="0"/>
          <w:sz w:val="22"/>
          <w:szCs w:val="22"/>
        </w:rPr>
        <w:t>подбор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арбитража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рамках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арбитражного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3A94C2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0" w:name="135"/>
      <w:bookmarkEnd w:id="140"/>
      <w:r>
        <w:rPr>
          <w:rFonts w:ascii="Arial" w:hAnsi="Arial" w:cs="Arial"/>
          <w:color w:val="000000"/>
          <w:kern w:val="0"/>
          <w:sz w:val="22"/>
          <w:szCs w:val="22"/>
        </w:rPr>
        <w:t xml:space="preserve">21.4.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</w:t>
      </w:r>
      <w:r>
        <w:rPr>
          <w:rFonts w:ascii="Arial" w:hAnsi="Arial" w:cs="Arial"/>
          <w:color w:val="000000"/>
          <w:kern w:val="0"/>
          <w:sz w:val="22"/>
          <w:szCs w:val="22"/>
        </w:rPr>
        <w:t>тно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экспертов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специалистов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переводчиков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привлечения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0DA5027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1" w:name="136"/>
      <w:bookmarkEnd w:id="141"/>
      <w:r>
        <w:rPr>
          <w:rFonts w:ascii="Arial" w:hAnsi="Arial" w:cs="Arial"/>
          <w:color w:val="000000"/>
          <w:kern w:val="0"/>
          <w:sz w:val="22"/>
          <w:szCs w:val="22"/>
        </w:rPr>
        <w:t xml:space="preserve">21.5.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41AA8D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2" w:name="137"/>
      <w:bookmarkEnd w:id="1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C38E0E0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3" w:name="138"/>
      <w:bookmarkEnd w:id="1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D17E2BF" w14:textId="77777777" w:rsidR="00DD7139" w:rsidRDefault="00DD7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4" w:name="139"/>
      <w:bookmarkEnd w:id="144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411E" w14:textId="77777777" w:rsidR="00DD7139" w:rsidRDefault="00DD7139">
      <w:pPr>
        <w:spacing w:after="0" w:line="240" w:lineRule="auto"/>
      </w:pPr>
      <w:r>
        <w:separator/>
      </w:r>
    </w:p>
  </w:endnote>
  <w:endnote w:type="continuationSeparator" w:id="0">
    <w:p w14:paraId="6E88D688" w14:textId="77777777" w:rsidR="00DD7139" w:rsidRDefault="00DD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7E6B" w14:textId="77777777" w:rsidR="00DD7139" w:rsidRDefault="00DD713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97BA" w14:textId="77777777" w:rsidR="00DD7139" w:rsidRDefault="00DD7139">
      <w:pPr>
        <w:spacing w:after="0" w:line="240" w:lineRule="auto"/>
      </w:pPr>
      <w:r>
        <w:separator/>
      </w:r>
    </w:p>
  </w:footnote>
  <w:footnote w:type="continuationSeparator" w:id="0">
    <w:p w14:paraId="2F2C8177" w14:textId="77777777" w:rsidR="00DD7139" w:rsidRDefault="00DD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0552" w14:textId="77777777" w:rsidR="00DD7139" w:rsidRDefault="00DD713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39"/>
    <w:rsid w:val="00DD7139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35A3C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3121</Words>
  <Characters>17796</Characters>
  <Application>Microsoft Office Word</Application>
  <DocSecurity>0</DocSecurity>
  <Lines>148</Lines>
  <Paragraphs>41</Paragraphs>
  <ScaleCrop>false</ScaleCrop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2025-12-23T08:16:00Z</dcterms:created>
  <dcterms:modified xsi:type="dcterms:W3CDTF">2025-12-23T08:16:00Z</dcterms:modified>
</cp:coreProperties>
</file>